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E5AC" w14:textId="3843B2E7" w:rsidR="00915D31" w:rsidRDefault="00915D31" w:rsidP="00915D31">
      <w:pPr>
        <w:contextualSpacing/>
        <w:jc w:val="center"/>
        <w:rPr>
          <w:rFonts w:ascii="Avenir Next LT Pro Demi" w:hAnsi="Avenir Next LT Pro Demi"/>
          <w:sz w:val="24"/>
          <w:szCs w:val="24"/>
        </w:rPr>
      </w:pPr>
      <w:r w:rsidRPr="00BA4825">
        <w:rPr>
          <w:rFonts w:ascii="Avenir Next LT Pro Demi" w:hAnsi="Avenir Next LT Pro Demi"/>
          <w:sz w:val="24"/>
          <w:szCs w:val="24"/>
        </w:rPr>
        <w:t>MedStar Orthopedic and Sports Medicine Research Network</w:t>
      </w:r>
    </w:p>
    <w:p w14:paraId="69A060B1" w14:textId="0F01445B" w:rsidR="0046632E" w:rsidRPr="00BA4825" w:rsidRDefault="0046632E" w:rsidP="00915D31">
      <w:pPr>
        <w:contextualSpacing/>
        <w:jc w:val="center"/>
        <w:rPr>
          <w:rFonts w:ascii="Avenir Next LT Pro Demi" w:hAnsi="Avenir Next LT Pro Demi"/>
          <w:sz w:val="24"/>
          <w:szCs w:val="24"/>
        </w:rPr>
      </w:pPr>
      <w:r>
        <w:rPr>
          <w:rFonts w:ascii="Avenir Next LT Pro Demi" w:hAnsi="Avenir Next LT Pro Demi"/>
          <w:sz w:val="24"/>
          <w:szCs w:val="24"/>
        </w:rPr>
        <w:t>Department of Sports Medicine and Shoulder and Elbow Surgery</w:t>
      </w:r>
    </w:p>
    <w:p w14:paraId="68176EBA" w14:textId="31C931AA" w:rsidR="007F3AA8" w:rsidRPr="00BA4825" w:rsidRDefault="00915D31" w:rsidP="00915D31">
      <w:pPr>
        <w:contextualSpacing/>
        <w:jc w:val="center"/>
        <w:rPr>
          <w:rFonts w:ascii="Avenir Next LT Pro Demi" w:hAnsi="Avenir Next LT Pro Demi"/>
          <w:sz w:val="24"/>
          <w:szCs w:val="24"/>
        </w:rPr>
      </w:pPr>
      <w:r w:rsidRPr="00BA4825">
        <w:rPr>
          <w:rFonts w:ascii="Avenir Next LT Pro Demi" w:hAnsi="Avenir Next LT Pro Demi"/>
          <w:sz w:val="24"/>
          <w:szCs w:val="24"/>
        </w:rPr>
        <w:t>Published Journal Articles</w:t>
      </w:r>
      <w:r w:rsidR="00BA4825" w:rsidRPr="00BA4825">
        <w:rPr>
          <w:rFonts w:ascii="Avenir Next LT Pro Demi" w:hAnsi="Avenir Next LT Pro Demi"/>
          <w:sz w:val="24"/>
          <w:szCs w:val="24"/>
        </w:rPr>
        <w:t>, Abstracts</w:t>
      </w:r>
      <w:r w:rsidRPr="00BA4825">
        <w:rPr>
          <w:rFonts w:ascii="Avenir Next LT Pro Demi" w:hAnsi="Avenir Next LT Pro Demi"/>
          <w:sz w:val="24"/>
          <w:szCs w:val="24"/>
        </w:rPr>
        <w:t xml:space="preserve"> and Book Chapters (2024-2025)</w:t>
      </w:r>
    </w:p>
    <w:p w14:paraId="76B23E16" w14:textId="77777777" w:rsidR="00915D31" w:rsidRPr="00915D31" w:rsidRDefault="00915D31" w:rsidP="00915D31">
      <w:pPr>
        <w:autoSpaceDE w:val="0"/>
        <w:autoSpaceDN w:val="0"/>
        <w:adjustRightInd w:val="0"/>
        <w:spacing w:after="0" w:line="240" w:lineRule="auto"/>
        <w:rPr>
          <w:rFonts w:ascii="Avenir Next LT Pro" w:hAnsi="Avenir Next LT Pro" w:cs="Arial"/>
        </w:rPr>
      </w:pPr>
      <w:bookmarkStart w:id="0" w:name="_Hlk192511917"/>
    </w:p>
    <w:bookmarkEnd w:id="0"/>
    <w:p w14:paraId="29B8115B" w14:textId="77777777" w:rsidR="0046632E" w:rsidRPr="006E30E0" w:rsidRDefault="0046632E" w:rsidP="0046632E">
      <w:pPr>
        <w:autoSpaceDE w:val="0"/>
        <w:autoSpaceDN w:val="0"/>
        <w:adjustRightInd w:val="0"/>
        <w:spacing w:after="0" w:line="240" w:lineRule="auto"/>
        <w:contextualSpacing/>
        <w:rPr>
          <w:rFonts w:cs="Arial"/>
        </w:rPr>
      </w:pPr>
    </w:p>
    <w:p w14:paraId="157E991E"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Chopra A, Wright MA, Murthi AM. Outcomes after arthroscopically assisted lower trapezius transfer with Achilles tendon allograft. J Shoulder Elbow Surg. 2024;33(2):321-7. PMID: 37499785</w:t>
      </w:r>
    </w:p>
    <w:p w14:paraId="34C4CB32" w14:textId="77777777" w:rsidR="0046632E" w:rsidRPr="006E30E0" w:rsidRDefault="0046632E" w:rsidP="0046632E">
      <w:pPr>
        <w:autoSpaceDE w:val="0"/>
        <w:autoSpaceDN w:val="0"/>
        <w:adjustRightInd w:val="0"/>
        <w:spacing w:after="0" w:line="240" w:lineRule="auto"/>
        <w:contextualSpacing/>
        <w:rPr>
          <w:rFonts w:cs="Arial"/>
        </w:rPr>
      </w:pPr>
    </w:p>
    <w:p w14:paraId="7CB418F3"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Corban J, Bowler AR, Glass EA, Brownhill JR, Myers C, </w:t>
      </w:r>
      <w:proofErr w:type="spellStart"/>
      <w:r w:rsidRPr="006E30E0">
        <w:rPr>
          <w:rFonts w:cs="Arial"/>
        </w:rPr>
        <w:t>Hodorek</w:t>
      </w:r>
      <w:proofErr w:type="spellEnd"/>
      <w:r w:rsidRPr="006E30E0">
        <w:rPr>
          <w:rFonts w:cs="Arial"/>
        </w:rPr>
        <w:t xml:space="preserve"> B, Purdy M, Vasconcellos D, Le K, Austin LS, Cuff DJ, Murthi AM, Smith MJ, Wiater JM, Jawa A. Modular baseplate augmentation: a simple and effective method for addressing eccentric glenoid wear. J Shoulder Elbow Surg. 2025;34(2):606-16. PMID: 39111687</w:t>
      </w:r>
    </w:p>
    <w:p w14:paraId="4F3D9BE4" w14:textId="77777777" w:rsidR="0046632E" w:rsidRPr="006E30E0" w:rsidRDefault="0046632E" w:rsidP="0046632E">
      <w:pPr>
        <w:autoSpaceDE w:val="0"/>
        <w:autoSpaceDN w:val="0"/>
        <w:adjustRightInd w:val="0"/>
        <w:spacing w:after="0" w:line="240" w:lineRule="auto"/>
        <w:contextualSpacing/>
        <w:rPr>
          <w:rFonts w:cs="Arial"/>
        </w:rPr>
      </w:pPr>
    </w:p>
    <w:p w14:paraId="09925D1D"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Douoguih WA, </w:t>
      </w:r>
      <w:proofErr w:type="spellStart"/>
      <w:r w:rsidRPr="006E30E0">
        <w:rPr>
          <w:rFonts w:cs="Arial"/>
        </w:rPr>
        <w:t>Apseloff</w:t>
      </w:r>
      <w:proofErr w:type="spellEnd"/>
      <w:r w:rsidRPr="006E30E0">
        <w:rPr>
          <w:rFonts w:cs="Arial"/>
        </w:rPr>
        <w:t xml:space="preserve"> N, Murray JC, Kelly RL, Svoboda SJ. Suture-augmented anterior cruciate ligament repair for proximal avulsion or high-grade partial tears shows similar side-to-side difference and no clinical differences at two years versus conventional anterior cruciate ligament reconstruction for mid-substance tears or poor anterior cruciate ligament tissue quality. Arthroscopy. 2024;40(3):857-67. PMID: 37479153</w:t>
      </w:r>
    </w:p>
    <w:p w14:paraId="4F0AC87F" w14:textId="77777777" w:rsidR="0046632E" w:rsidRPr="006E30E0" w:rsidRDefault="0046632E" w:rsidP="0046632E">
      <w:pPr>
        <w:autoSpaceDE w:val="0"/>
        <w:autoSpaceDN w:val="0"/>
        <w:adjustRightInd w:val="0"/>
        <w:spacing w:after="0" w:line="240" w:lineRule="auto"/>
        <w:contextualSpacing/>
        <w:rPr>
          <w:rFonts w:cs="Arial"/>
        </w:rPr>
      </w:pPr>
    </w:p>
    <w:p w14:paraId="6BBA9B5B"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Douoguih WA, Bodendorfer BM, Shu HT. Osteotomies for knee arthritis. In: Deshmukh AJ, Shabani BH, Waldstein W, Oni JK, editors. Surgical Management of Knee Arthritis. Cham, Switzerland: Springer; 2024. p. 157-71.</w:t>
      </w:r>
    </w:p>
    <w:p w14:paraId="70E6EF7C" w14:textId="77777777" w:rsidR="0046632E" w:rsidRPr="006E30E0" w:rsidRDefault="0046632E" w:rsidP="0046632E">
      <w:pPr>
        <w:autoSpaceDE w:val="0"/>
        <w:autoSpaceDN w:val="0"/>
        <w:adjustRightInd w:val="0"/>
        <w:spacing w:after="0" w:line="240" w:lineRule="auto"/>
        <w:contextualSpacing/>
        <w:rPr>
          <w:rFonts w:cs="Arial"/>
        </w:rPr>
      </w:pPr>
    </w:p>
    <w:p w14:paraId="667E6AF2"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Duvall G, Chopra A, Wright M, Murthi AM. Do modern orthopaedic trainees have sufficient exposure and education on open shoulder stabilization? Curr </w:t>
      </w:r>
      <w:proofErr w:type="spellStart"/>
      <w:r w:rsidRPr="006E30E0">
        <w:rPr>
          <w:rFonts w:cs="Arial"/>
        </w:rPr>
        <w:t>Orthop</w:t>
      </w:r>
      <w:proofErr w:type="spellEnd"/>
      <w:r w:rsidRPr="006E30E0">
        <w:rPr>
          <w:rFonts w:cs="Arial"/>
        </w:rPr>
        <w:t xml:space="preserve"> </w:t>
      </w:r>
      <w:proofErr w:type="spellStart"/>
      <w:r w:rsidRPr="006E30E0">
        <w:rPr>
          <w:rFonts w:cs="Arial"/>
        </w:rPr>
        <w:t>Pract</w:t>
      </w:r>
      <w:proofErr w:type="spellEnd"/>
      <w:r w:rsidRPr="006E30E0">
        <w:rPr>
          <w:rFonts w:cs="Arial"/>
        </w:rPr>
        <w:t xml:space="preserve">. 2024;36(2):e1287. </w:t>
      </w:r>
    </w:p>
    <w:p w14:paraId="55C2E2D6" w14:textId="77777777" w:rsidR="0046632E" w:rsidRPr="006E30E0" w:rsidRDefault="0046632E" w:rsidP="0046632E">
      <w:pPr>
        <w:autoSpaceDE w:val="0"/>
        <w:autoSpaceDN w:val="0"/>
        <w:adjustRightInd w:val="0"/>
        <w:spacing w:after="0" w:line="240" w:lineRule="auto"/>
        <w:contextualSpacing/>
        <w:rPr>
          <w:rFonts w:cs="Arial"/>
        </w:rPr>
      </w:pPr>
    </w:p>
    <w:p w14:paraId="30851DC9"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Gosnell G, Imbergamo C, Gould HP, Zimmerman RM, Wright MA. A case report of trauma-induced coagulopathy in the setting of an isolated humeral shaft fracture. J </w:t>
      </w:r>
      <w:proofErr w:type="spellStart"/>
      <w:r w:rsidRPr="006E30E0">
        <w:rPr>
          <w:rFonts w:cs="Arial"/>
        </w:rPr>
        <w:t>Orthop</w:t>
      </w:r>
      <w:proofErr w:type="spellEnd"/>
      <w:r w:rsidRPr="006E30E0">
        <w:rPr>
          <w:rFonts w:cs="Arial"/>
        </w:rPr>
        <w:t xml:space="preserve"> Case Reports. 2025;14(11):20-4. </w:t>
      </w:r>
    </w:p>
    <w:p w14:paraId="7DD46D06" w14:textId="77777777" w:rsidR="0046632E" w:rsidRPr="006E30E0" w:rsidRDefault="0046632E" w:rsidP="0046632E">
      <w:pPr>
        <w:autoSpaceDE w:val="0"/>
        <w:autoSpaceDN w:val="0"/>
        <w:adjustRightInd w:val="0"/>
        <w:spacing w:after="0" w:line="240" w:lineRule="auto"/>
        <w:contextualSpacing/>
        <w:rPr>
          <w:rFonts w:cs="Arial"/>
        </w:rPr>
      </w:pPr>
    </w:p>
    <w:p w14:paraId="59678A8C"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Gould HP. CORR Insights: Does the extent of tear influence </w:t>
      </w:r>
      <w:proofErr w:type="spellStart"/>
      <w:r w:rsidRPr="006E30E0">
        <w:rPr>
          <w:rFonts w:cs="Arial"/>
        </w:rPr>
        <w:t>pseudoparesis</w:t>
      </w:r>
      <w:proofErr w:type="spellEnd"/>
      <w:r w:rsidRPr="006E30E0">
        <w:rPr>
          <w:rFonts w:cs="Arial"/>
        </w:rPr>
        <w:t xml:space="preserve"> in patients with isolated subscapularis tears? Clin </w:t>
      </w:r>
      <w:proofErr w:type="spellStart"/>
      <w:r w:rsidRPr="006E30E0">
        <w:rPr>
          <w:rFonts w:cs="Arial"/>
        </w:rPr>
        <w:t>Orthop</w:t>
      </w:r>
      <w:proofErr w:type="spellEnd"/>
      <w:r w:rsidRPr="006E30E0">
        <w:rPr>
          <w:rFonts w:cs="Arial"/>
        </w:rPr>
        <w:t xml:space="preserve"> </w:t>
      </w:r>
      <w:proofErr w:type="spellStart"/>
      <w:r w:rsidRPr="006E30E0">
        <w:rPr>
          <w:rFonts w:cs="Arial"/>
        </w:rPr>
        <w:t>Relat</w:t>
      </w:r>
      <w:proofErr w:type="spellEnd"/>
      <w:r w:rsidRPr="006E30E0">
        <w:rPr>
          <w:rFonts w:cs="Arial"/>
        </w:rPr>
        <w:t xml:space="preserve"> Res. 2025;482(12):2180-1. PMID: 39207848</w:t>
      </w:r>
    </w:p>
    <w:p w14:paraId="1A669FBA" w14:textId="77777777" w:rsidR="0046632E" w:rsidRPr="006E30E0" w:rsidRDefault="0046632E" w:rsidP="0046632E">
      <w:pPr>
        <w:autoSpaceDE w:val="0"/>
        <w:autoSpaceDN w:val="0"/>
        <w:adjustRightInd w:val="0"/>
        <w:spacing w:after="0" w:line="240" w:lineRule="auto"/>
        <w:contextualSpacing/>
        <w:rPr>
          <w:rFonts w:cs="Arial"/>
        </w:rPr>
      </w:pPr>
    </w:p>
    <w:p w14:paraId="6E0A500D"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Haislup B, Gupta S, Fleisher I, Murthi A, Wright MA. Funding bias in shoulder arthroplasty research. J Shoulder Elbow Surg. 2024;33(8):e438-e42. PMID: 38642875</w:t>
      </w:r>
    </w:p>
    <w:p w14:paraId="1CADE661" w14:textId="77777777" w:rsidR="0046632E" w:rsidRPr="006E30E0" w:rsidRDefault="0046632E" w:rsidP="0046632E">
      <w:pPr>
        <w:autoSpaceDE w:val="0"/>
        <w:autoSpaceDN w:val="0"/>
        <w:adjustRightInd w:val="0"/>
        <w:spacing w:after="0" w:line="240" w:lineRule="auto"/>
        <w:contextualSpacing/>
        <w:rPr>
          <w:rFonts w:cs="Arial"/>
        </w:rPr>
      </w:pPr>
    </w:p>
    <w:p w14:paraId="566BE131"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Haislup B, Lindsey S, Tarapore R, Abbasi P, Wright MA, Murthi A. Biomechanics of subscapularis </w:t>
      </w:r>
      <w:proofErr w:type="spellStart"/>
      <w:r w:rsidRPr="006E30E0">
        <w:rPr>
          <w:rFonts w:cs="Arial"/>
        </w:rPr>
        <w:t>v-shaped</w:t>
      </w:r>
      <w:proofErr w:type="spellEnd"/>
      <w:r w:rsidRPr="006E30E0">
        <w:rPr>
          <w:rFonts w:cs="Arial"/>
        </w:rPr>
        <w:t xml:space="preserve"> tenotomy compared to standard tenotomy. J Shoulder Elbow Surg. 2024;33(3):604-9. PMID: 37777043</w:t>
      </w:r>
    </w:p>
    <w:p w14:paraId="03AAF95C" w14:textId="77777777" w:rsidR="0046632E" w:rsidRPr="006E30E0" w:rsidRDefault="0046632E" w:rsidP="0046632E">
      <w:pPr>
        <w:autoSpaceDE w:val="0"/>
        <w:autoSpaceDN w:val="0"/>
        <w:adjustRightInd w:val="0"/>
        <w:spacing w:after="0" w:line="240" w:lineRule="auto"/>
        <w:contextualSpacing/>
        <w:rPr>
          <w:rFonts w:cs="Arial"/>
        </w:rPr>
      </w:pPr>
    </w:p>
    <w:p w14:paraId="512CE8C1" w14:textId="77777777" w:rsidR="0046632E"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Haislup BD. CORR Insights: Acquired acromion compromise, including thinning and fragmentation, is not associated with poor outcomes after reverse shoulder arthroplasty. Clin </w:t>
      </w:r>
      <w:proofErr w:type="spellStart"/>
      <w:r w:rsidRPr="006E30E0">
        <w:rPr>
          <w:rFonts w:cs="Arial"/>
        </w:rPr>
        <w:t>Orthop</w:t>
      </w:r>
      <w:proofErr w:type="spellEnd"/>
      <w:r w:rsidRPr="006E30E0">
        <w:rPr>
          <w:rFonts w:cs="Arial"/>
        </w:rPr>
        <w:t xml:space="preserve"> </w:t>
      </w:r>
      <w:proofErr w:type="spellStart"/>
      <w:r w:rsidRPr="006E30E0">
        <w:rPr>
          <w:rFonts w:cs="Arial"/>
        </w:rPr>
        <w:t>Relat</w:t>
      </w:r>
      <w:proofErr w:type="spellEnd"/>
      <w:r w:rsidRPr="006E30E0">
        <w:rPr>
          <w:rFonts w:cs="Arial"/>
        </w:rPr>
        <w:t xml:space="preserve"> Res. 2025;482(11):2014-6. PMID: 39017172</w:t>
      </w:r>
    </w:p>
    <w:p w14:paraId="42EA2601" w14:textId="77777777" w:rsidR="0046632E" w:rsidRPr="006B7919" w:rsidRDefault="0046632E" w:rsidP="0046632E">
      <w:pPr>
        <w:pStyle w:val="ListParagraph"/>
        <w:rPr>
          <w:rFonts w:cs="Arial"/>
        </w:rPr>
      </w:pPr>
    </w:p>
    <w:p w14:paraId="2BC0D1CD" w14:textId="77777777" w:rsidR="0046632E" w:rsidRPr="006E30E0" w:rsidRDefault="0046632E" w:rsidP="0046632E">
      <w:pPr>
        <w:pStyle w:val="ListParagraph"/>
        <w:autoSpaceDE w:val="0"/>
        <w:autoSpaceDN w:val="0"/>
        <w:adjustRightInd w:val="0"/>
        <w:spacing w:after="0" w:line="240" w:lineRule="auto"/>
        <w:rPr>
          <w:rFonts w:cs="Arial"/>
        </w:rPr>
      </w:pPr>
    </w:p>
    <w:p w14:paraId="1F3D6C5B" w14:textId="77777777" w:rsidR="0046632E" w:rsidRPr="006E30E0" w:rsidRDefault="0046632E" w:rsidP="0046632E">
      <w:pPr>
        <w:autoSpaceDE w:val="0"/>
        <w:autoSpaceDN w:val="0"/>
        <w:adjustRightInd w:val="0"/>
        <w:spacing w:after="0" w:line="240" w:lineRule="auto"/>
        <w:contextualSpacing/>
        <w:rPr>
          <w:rFonts w:cs="Arial"/>
        </w:rPr>
      </w:pPr>
    </w:p>
    <w:p w14:paraId="64CD96A7" w14:textId="77777777" w:rsidR="0046632E" w:rsidRPr="006E30E0" w:rsidRDefault="0046632E" w:rsidP="0046632E">
      <w:pPr>
        <w:autoSpaceDE w:val="0"/>
        <w:autoSpaceDN w:val="0"/>
        <w:adjustRightInd w:val="0"/>
        <w:spacing w:after="0" w:line="240" w:lineRule="auto"/>
        <w:contextualSpacing/>
        <w:rPr>
          <w:rFonts w:cs="Arial"/>
        </w:rPr>
      </w:pPr>
    </w:p>
    <w:p w14:paraId="3E1972BD"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lastRenderedPageBreak/>
        <w:t xml:space="preserve">Herring SA, </w:t>
      </w:r>
      <w:proofErr w:type="spellStart"/>
      <w:r w:rsidRPr="006E30E0">
        <w:rPr>
          <w:rFonts w:cs="Arial"/>
        </w:rPr>
        <w:t>Putukian</w:t>
      </w:r>
      <w:proofErr w:type="spellEnd"/>
      <w:r w:rsidRPr="006E30E0">
        <w:rPr>
          <w:rFonts w:cs="Arial"/>
        </w:rPr>
        <w:t xml:space="preserve"> M, Kibler WB, Leclere L, Boyajian-O'Neill L, Day MA, Franks RR, Indelicato P, Matuszak J, Miller TL, O'Connor F, Poddar S, Svoboda SJ, Zaremski JL. Team Physician Consensus Statement: return to sport/return to play and the team physician: a team physician consensus statement-2023 update. Med Sci Sports </w:t>
      </w:r>
      <w:proofErr w:type="spellStart"/>
      <w:r w:rsidRPr="006E30E0">
        <w:rPr>
          <w:rFonts w:cs="Arial"/>
        </w:rPr>
        <w:t>Exerc</w:t>
      </w:r>
      <w:proofErr w:type="spellEnd"/>
      <w:r w:rsidRPr="006E30E0">
        <w:rPr>
          <w:rFonts w:cs="Arial"/>
        </w:rPr>
        <w:t>. 2024;56(5):767-75. PMID: 38616326</w:t>
      </w:r>
    </w:p>
    <w:p w14:paraId="71538FFA" w14:textId="77777777" w:rsidR="0046632E" w:rsidRPr="006E30E0" w:rsidRDefault="0046632E" w:rsidP="0046632E">
      <w:pPr>
        <w:autoSpaceDE w:val="0"/>
        <w:autoSpaceDN w:val="0"/>
        <w:adjustRightInd w:val="0"/>
        <w:spacing w:after="0" w:line="240" w:lineRule="auto"/>
        <w:contextualSpacing/>
        <w:rPr>
          <w:rFonts w:cs="Arial"/>
        </w:rPr>
      </w:pPr>
    </w:p>
    <w:p w14:paraId="2DC7696D"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Hudson K, Sedgley MD, </w:t>
      </w:r>
      <w:proofErr w:type="spellStart"/>
      <w:r w:rsidRPr="006E30E0">
        <w:rPr>
          <w:rFonts w:cs="Arial"/>
        </w:rPr>
        <w:t>Monseau</w:t>
      </w:r>
      <w:proofErr w:type="spellEnd"/>
      <w:r w:rsidRPr="006E30E0">
        <w:rPr>
          <w:rFonts w:cs="Arial"/>
        </w:rPr>
        <w:t xml:space="preserve"> AJ. Mass gathering events: youth, high school, collegiate, Olympic, and professional sporting events. In: Brady WJ, Sochor MR, Pepe PE, Maino JCI, Dyer KS, editors. Mass Gathering Medicine: A Guide to the Medical Management of Large Events. New York: Cambridge University Press; 2024. p. 144-57.</w:t>
      </w:r>
    </w:p>
    <w:p w14:paraId="63BD64AD" w14:textId="77777777" w:rsidR="0046632E" w:rsidRPr="006E30E0" w:rsidRDefault="0046632E" w:rsidP="0046632E">
      <w:pPr>
        <w:autoSpaceDE w:val="0"/>
        <w:autoSpaceDN w:val="0"/>
        <w:adjustRightInd w:val="0"/>
        <w:spacing w:after="0" w:line="240" w:lineRule="auto"/>
        <w:contextualSpacing/>
        <w:rPr>
          <w:rFonts w:cs="Arial"/>
        </w:rPr>
      </w:pPr>
    </w:p>
    <w:p w14:paraId="73CC3D13"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Khan AZ, Maxwell MJ, Parrott RM, Bowler AR, Glass EA, Miller D, Vasconcellos D, Brownhill JR, Austin LS, Cuff DJ, Murthi AM, Smith MJ, Wiater JM, Jawa A. Effect of vitamin E-enhanced highly cross-linked polyethylene on wear rate and particle debris in anatomic total shoulder arthroplasty: a biomechanical comparison to ultrahigh-molecular-weight polyethylene. J Shoulder Elbow Surg. 2024;33(4):1465-72. PMID: 38182025</w:t>
      </w:r>
    </w:p>
    <w:p w14:paraId="36E9EE0E" w14:textId="77777777" w:rsidR="0046632E" w:rsidRPr="006E30E0" w:rsidRDefault="0046632E" w:rsidP="0046632E">
      <w:pPr>
        <w:autoSpaceDE w:val="0"/>
        <w:autoSpaceDN w:val="0"/>
        <w:adjustRightInd w:val="0"/>
        <w:spacing w:after="0" w:line="240" w:lineRule="auto"/>
        <w:contextualSpacing/>
        <w:rPr>
          <w:rFonts w:cs="Arial"/>
        </w:rPr>
      </w:pPr>
    </w:p>
    <w:p w14:paraId="475E5885" w14:textId="77777777" w:rsidR="0046632E" w:rsidRDefault="0046632E" w:rsidP="0046632E">
      <w:pPr>
        <w:pStyle w:val="ListParagraph"/>
        <w:numPr>
          <w:ilvl w:val="0"/>
          <w:numId w:val="1"/>
        </w:numPr>
        <w:autoSpaceDE w:val="0"/>
        <w:autoSpaceDN w:val="0"/>
        <w:adjustRightInd w:val="0"/>
        <w:spacing w:after="0" w:line="240" w:lineRule="auto"/>
        <w:rPr>
          <w:rFonts w:cs="Arial"/>
        </w:rPr>
      </w:pPr>
      <w:r w:rsidRPr="0090629F">
        <w:rPr>
          <w:rFonts w:cs="Arial"/>
        </w:rPr>
        <w:t xml:space="preserve">Lohre R, Swanson DP, </w:t>
      </w:r>
      <w:proofErr w:type="spellStart"/>
      <w:r w:rsidRPr="0090629F">
        <w:rPr>
          <w:rFonts w:cs="Arial"/>
        </w:rPr>
        <w:t>Mahendraraj</w:t>
      </w:r>
      <w:proofErr w:type="spellEnd"/>
      <w:r w:rsidRPr="0090629F">
        <w:rPr>
          <w:rFonts w:cs="Arial"/>
        </w:rPr>
        <w:t xml:space="preserve"> KA, </w:t>
      </w:r>
      <w:proofErr w:type="spellStart"/>
      <w:r w:rsidRPr="0090629F">
        <w:rPr>
          <w:rFonts w:cs="Arial"/>
        </w:rPr>
        <w:t>Elmallah</w:t>
      </w:r>
      <w:proofErr w:type="spellEnd"/>
      <w:r w:rsidRPr="0090629F">
        <w:rPr>
          <w:rFonts w:cs="Arial"/>
        </w:rPr>
        <w:t xml:space="preserve"> R, Glass EA, Dunn WR, Cannon DJ, Friedman LG, Gaudette JA, Green J, </w:t>
      </w:r>
      <w:proofErr w:type="spellStart"/>
      <w:r w:rsidRPr="0090629F">
        <w:rPr>
          <w:rFonts w:cs="Arial"/>
        </w:rPr>
        <w:t>Grobaty</w:t>
      </w:r>
      <w:proofErr w:type="spellEnd"/>
      <w:r w:rsidRPr="0090629F">
        <w:rPr>
          <w:rFonts w:cs="Arial"/>
        </w:rPr>
        <w:t xml:space="preserve"> L, Gutman M, </w:t>
      </w:r>
      <w:proofErr w:type="spellStart"/>
      <w:r w:rsidRPr="0090629F">
        <w:rPr>
          <w:rFonts w:cs="Arial"/>
        </w:rPr>
        <w:t>Kakalecik</w:t>
      </w:r>
      <w:proofErr w:type="spellEnd"/>
      <w:r w:rsidRPr="0090629F">
        <w:rPr>
          <w:rFonts w:cs="Arial"/>
        </w:rPr>
        <w:t xml:space="preserve"> J, Kloby MA, Konrade EN, Knack MC, Loveland A, Mathew JI, Myhre L, </w:t>
      </w:r>
      <w:proofErr w:type="spellStart"/>
      <w:r w:rsidRPr="0090629F">
        <w:rPr>
          <w:rFonts w:cs="Arial"/>
        </w:rPr>
        <w:t>Nyfeler</w:t>
      </w:r>
      <w:proofErr w:type="spellEnd"/>
      <w:r w:rsidRPr="0090629F">
        <w:rPr>
          <w:rFonts w:cs="Arial"/>
        </w:rPr>
        <w:t xml:space="preserve"> J, Parsell DE, Pazik M, Polisetty TS, Ponnuru P, Smith KM, Sprengel KA, Thakar O, Turnbull L, Vaughan A, Wheelwright JC, Abboud J, Armstrong A, Austin L, Brolin T, Entezari V, Garrigues GE, Grawe B, Gulotta LV, Hobgood R, Horneff JG, Iannotti J, </w:t>
      </w:r>
      <w:proofErr w:type="spellStart"/>
      <w:r w:rsidRPr="0090629F">
        <w:rPr>
          <w:rFonts w:cs="Arial"/>
        </w:rPr>
        <w:t>Khazzam</w:t>
      </w:r>
      <w:proofErr w:type="spellEnd"/>
      <w:r w:rsidRPr="0090629F">
        <w:rPr>
          <w:rFonts w:cs="Arial"/>
        </w:rPr>
        <w:t xml:space="preserve"> M, King JJ, Kirsch JM, Levy JC, Murthi A, Namdari S, Nicholson GP, Otto RJ, Ricchetti ET, Tashjian R, Throckmorton T, Wright T, Jawa A. Predictors of dislocations after reverse shoulder arthroplasty: a study by the ASES complications of RSA multicenter research group. J Shoulder Elbow Surg. 2024;33(1):73-81. PMID: 37379964</w:t>
      </w:r>
    </w:p>
    <w:p w14:paraId="0976B119" w14:textId="77777777" w:rsidR="0046632E" w:rsidRPr="0090629F" w:rsidRDefault="0046632E" w:rsidP="0046632E">
      <w:pPr>
        <w:autoSpaceDE w:val="0"/>
        <w:autoSpaceDN w:val="0"/>
        <w:adjustRightInd w:val="0"/>
        <w:spacing w:after="0" w:line="240" w:lineRule="auto"/>
        <w:contextualSpacing/>
        <w:rPr>
          <w:rFonts w:cs="Arial"/>
        </w:rPr>
      </w:pPr>
    </w:p>
    <w:p w14:paraId="2974CA33"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Mabrouk A, Chou A, Douoguih WA, Onishi S, Mansour A, Ollivier M. Medial posterior tibial slope measurements are overestimated on long radiographs and 3D-CT compared to measurements on short lateral radiographs. J Exp </w:t>
      </w:r>
      <w:proofErr w:type="spellStart"/>
      <w:r w:rsidRPr="006E30E0">
        <w:rPr>
          <w:rFonts w:cs="Arial"/>
        </w:rPr>
        <w:t>Orthop</w:t>
      </w:r>
      <w:proofErr w:type="spellEnd"/>
      <w:r w:rsidRPr="006E30E0">
        <w:rPr>
          <w:rFonts w:cs="Arial"/>
        </w:rPr>
        <w:t>. 2024;11(4):e70120. PMID: 39697993</w:t>
      </w:r>
    </w:p>
    <w:p w14:paraId="27C41931" w14:textId="77777777" w:rsidR="0046632E" w:rsidRPr="006E30E0" w:rsidRDefault="0046632E" w:rsidP="0046632E">
      <w:pPr>
        <w:autoSpaceDE w:val="0"/>
        <w:autoSpaceDN w:val="0"/>
        <w:adjustRightInd w:val="0"/>
        <w:spacing w:after="0" w:line="240" w:lineRule="auto"/>
        <w:contextualSpacing/>
        <w:rPr>
          <w:rFonts w:cs="Arial"/>
        </w:rPr>
      </w:pPr>
    </w:p>
    <w:p w14:paraId="2907364F"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Ollivier M, Douoguih WA, Karam K, Onishi S, Chou A. </w:t>
      </w:r>
      <w:proofErr w:type="spellStart"/>
      <w:r w:rsidRPr="006E30E0">
        <w:rPr>
          <w:rFonts w:cs="Arial"/>
        </w:rPr>
        <w:t>Infratuberosity</w:t>
      </w:r>
      <w:proofErr w:type="spellEnd"/>
      <w:r w:rsidRPr="006E30E0">
        <w:rPr>
          <w:rFonts w:cs="Arial"/>
        </w:rPr>
        <w:t xml:space="preserve"> anterior closing-wedge high tibial osteotomy for slope correction in anterior cruciate ligament–deficient knees. </w:t>
      </w:r>
      <w:proofErr w:type="spellStart"/>
      <w:r w:rsidRPr="006E30E0">
        <w:rPr>
          <w:rFonts w:cs="Arial"/>
        </w:rPr>
        <w:t>Arthrosc</w:t>
      </w:r>
      <w:proofErr w:type="spellEnd"/>
      <w:r w:rsidRPr="006E30E0">
        <w:rPr>
          <w:rFonts w:cs="Arial"/>
        </w:rPr>
        <w:t xml:space="preserve"> Tech. 2025;14(1):103153. </w:t>
      </w:r>
    </w:p>
    <w:p w14:paraId="2236C080" w14:textId="77777777" w:rsidR="0046632E" w:rsidRPr="006E30E0" w:rsidRDefault="0046632E" w:rsidP="0046632E">
      <w:pPr>
        <w:autoSpaceDE w:val="0"/>
        <w:autoSpaceDN w:val="0"/>
        <w:adjustRightInd w:val="0"/>
        <w:spacing w:after="0" w:line="240" w:lineRule="auto"/>
        <w:contextualSpacing/>
        <w:rPr>
          <w:rFonts w:cs="Arial"/>
        </w:rPr>
      </w:pPr>
    </w:p>
    <w:p w14:paraId="3ADF2748" w14:textId="7FF4D40C" w:rsidR="0046632E" w:rsidRPr="0046632E"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Schaefer E, Haislup B, Trent S, Sequeira S, Tarapore R, Lindsey S, Murthi AM, Wright MA. Reliability of the Walch classification for characterization of primary glenohumeral arthritis: a systematic review. J Am </w:t>
      </w:r>
      <w:proofErr w:type="spellStart"/>
      <w:r w:rsidRPr="006E30E0">
        <w:rPr>
          <w:rFonts w:cs="Arial"/>
        </w:rPr>
        <w:t>Acad</w:t>
      </w:r>
      <w:proofErr w:type="spellEnd"/>
      <w:r w:rsidRPr="006E30E0">
        <w:rPr>
          <w:rFonts w:cs="Arial"/>
        </w:rPr>
        <w:t xml:space="preserve"> </w:t>
      </w:r>
      <w:proofErr w:type="spellStart"/>
      <w:r w:rsidRPr="006E30E0">
        <w:rPr>
          <w:rFonts w:cs="Arial"/>
        </w:rPr>
        <w:t>Orthop</w:t>
      </w:r>
      <w:proofErr w:type="spellEnd"/>
      <w:r w:rsidRPr="006E30E0">
        <w:rPr>
          <w:rFonts w:cs="Arial"/>
        </w:rPr>
        <w:t xml:space="preserve"> Surg. 2024;32(17):e861-e8. PMID: 38748901</w:t>
      </w:r>
    </w:p>
    <w:p w14:paraId="0640467D" w14:textId="77777777" w:rsidR="0046632E" w:rsidRPr="006E30E0" w:rsidRDefault="0046632E" w:rsidP="0046632E">
      <w:pPr>
        <w:autoSpaceDE w:val="0"/>
        <w:autoSpaceDN w:val="0"/>
        <w:adjustRightInd w:val="0"/>
        <w:spacing w:after="0" w:line="240" w:lineRule="auto"/>
        <w:contextualSpacing/>
        <w:rPr>
          <w:rFonts w:cs="Arial"/>
        </w:rPr>
      </w:pPr>
    </w:p>
    <w:p w14:paraId="6ADCD192" w14:textId="77777777" w:rsidR="0046632E" w:rsidRPr="0090629F"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Vasavada K, Vasavada V, Moran J, Devana S, Lee C, </w:t>
      </w:r>
      <w:proofErr w:type="spellStart"/>
      <w:r w:rsidRPr="006E30E0">
        <w:rPr>
          <w:rFonts w:cs="Arial"/>
        </w:rPr>
        <w:t>Hame</w:t>
      </w:r>
      <w:proofErr w:type="spellEnd"/>
      <w:r w:rsidRPr="006E30E0">
        <w:rPr>
          <w:rFonts w:cs="Arial"/>
        </w:rPr>
        <w:t xml:space="preserve"> SL, </w:t>
      </w:r>
      <w:proofErr w:type="spellStart"/>
      <w:r w:rsidRPr="006E30E0">
        <w:rPr>
          <w:rFonts w:cs="Arial"/>
        </w:rPr>
        <w:t>Jazrawi</w:t>
      </w:r>
      <w:proofErr w:type="spellEnd"/>
      <w:r w:rsidRPr="006E30E0">
        <w:rPr>
          <w:rFonts w:cs="Arial"/>
        </w:rPr>
        <w:t xml:space="preserve"> LM, Sherman OH, Huston LJ, Haas AK, Allen CR, Cooper DE, </w:t>
      </w:r>
      <w:proofErr w:type="spellStart"/>
      <w:r w:rsidRPr="006E30E0">
        <w:rPr>
          <w:rFonts w:cs="Arial"/>
        </w:rPr>
        <w:t>DeBerardino</w:t>
      </w:r>
      <w:proofErr w:type="spellEnd"/>
      <w:r w:rsidRPr="006E30E0">
        <w:rPr>
          <w:rFonts w:cs="Arial"/>
        </w:rPr>
        <w:t xml:space="preserve"> TM, Spindler KP, Stuart MJ, Ned Amendola A, Annunziata CC, Arciero RA, Bach BR, Jr., Baker CL, 3rd, Bartolozzi AR, Baumgarten KM, Berg JH, Bernas GA, Brockmeier SF, Brophy RH, Bush-Joseph CA, Butler VJ, Carey JL, Carpenter JE, Cole BJ, Cooper JM, Cox CL, Creighton RA, David TS, Dunn WR, Flanigan DC, Frederick RW, Ganley TJ, </w:t>
      </w:r>
      <w:proofErr w:type="spellStart"/>
      <w:r w:rsidRPr="006E30E0">
        <w:rPr>
          <w:rFonts w:cs="Arial"/>
        </w:rPr>
        <w:t>Gatt</w:t>
      </w:r>
      <w:proofErr w:type="spellEnd"/>
      <w:r w:rsidRPr="006E30E0">
        <w:rPr>
          <w:rFonts w:cs="Arial"/>
        </w:rPr>
        <w:t xml:space="preserve"> CJ, Jr., </w:t>
      </w:r>
      <w:proofErr w:type="spellStart"/>
      <w:r w:rsidRPr="006E30E0">
        <w:rPr>
          <w:rFonts w:cs="Arial"/>
        </w:rPr>
        <w:t>Gecha</w:t>
      </w:r>
      <w:proofErr w:type="spellEnd"/>
      <w:r w:rsidRPr="006E30E0">
        <w:rPr>
          <w:rFonts w:cs="Arial"/>
        </w:rPr>
        <w:t xml:space="preserve"> SR, Giffin JR, Hannafin JA, Lindsay Harris N, Jr., Hechtman KS, Hershman EB, </w:t>
      </w:r>
      <w:proofErr w:type="spellStart"/>
      <w:r w:rsidRPr="006E30E0">
        <w:rPr>
          <w:rFonts w:cs="Arial"/>
        </w:rPr>
        <w:t>Hoellrich</w:t>
      </w:r>
      <w:proofErr w:type="spellEnd"/>
      <w:r w:rsidRPr="006E30E0">
        <w:rPr>
          <w:rFonts w:cs="Arial"/>
        </w:rPr>
        <w:t xml:space="preserve"> RG, Johnson DC, Johnson TS, Jones MH, Kaeding CC, Kamath GV, Klootwyk </w:t>
      </w:r>
      <w:r w:rsidRPr="006E30E0">
        <w:rPr>
          <w:rFonts w:cs="Arial"/>
        </w:rPr>
        <w:lastRenderedPageBreak/>
        <w:t xml:space="preserve">TE, Levy BA, Ma CB, Maiers GP, 2nd, Marx RG, Matava MJ, </w:t>
      </w:r>
      <w:proofErr w:type="spellStart"/>
      <w:r w:rsidRPr="006E30E0">
        <w:rPr>
          <w:rFonts w:cs="Arial"/>
        </w:rPr>
        <w:t>Mathien</w:t>
      </w:r>
      <w:proofErr w:type="spellEnd"/>
      <w:r w:rsidRPr="006E30E0">
        <w:rPr>
          <w:rFonts w:cs="Arial"/>
        </w:rPr>
        <w:t xml:space="preserve"> GM, McAllister DR, McCarty EC, McCormack RG, Miller BS, Nissen CW, O'Neill DF, Owens BD, Parker RD, Purnell ML, </w:t>
      </w:r>
      <w:proofErr w:type="spellStart"/>
      <w:r w:rsidRPr="006E30E0">
        <w:rPr>
          <w:rFonts w:cs="Arial"/>
        </w:rPr>
        <w:t>Ramappa</w:t>
      </w:r>
      <w:proofErr w:type="spellEnd"/>
      <w:r w:rsidRPr="006E30E0">
        <w:rPr>
          <w:rFonts w:cs="Arial"/>
        </w:rPr>
        <w:t xml:space="preserve"> AJ, Rauh MA, Rettig AC, Sekiya JK, Shea KG, </w:t>
      </w:r>
      <w:proofErr w:type="spellStart"/>
      <w:r w:rsidRPr="006E30E0">
        <w:rPr>
          <w:rFonts w:cs="Arial"/>
        </w:rPr>
        <w:t>Slauterbeck</w:t>
      </w:r>
      <w:proofErr w:type="spellEnd"/>
      <w:r w:rsidRPr="006E30E0">
        <w:rPr>
          <w:rFonts w:cs="Arial"/>
        </w:rPr>
        <w:t xml:space="preserve"> JR, Smith MV, Spang JT, Svoboda SJ, Taft TN, Tenuta JJ, Tingstad EM, Vidal AF, </w:t>
      </w:r>
      <w:proofErr w:type="spellStart"/>
      <w:r w:rsidRPr="006E30E0">
        <w:rPr>
          <w:rFonts w:cs="Arial"/>
        </w:rPr>
        <w:t>Viskontas</w:t>
      </w:r>
      <w:proofErr w:type="spellEnd"/>
      <w:r w:rsidRPr="006E30E0">
        <w:rPr>
          <w:rFonts w:cs="Arial"/>
        </w:rPr>
        <w:t xml:space="preserve"> DG, White RA, Williams JS, Jr., Wolcott ML, Wolf BR, Wright RW, York JJ. A novel machine learning model to predict revision ACL </w:t>
      </w:r>
      <w:r>
        <w:rPr>
          <w:rFonts w:cs="Arial"/>
        </w:rPr>
        <w:t>r</w:t>
      </w:r>
      <w:r w:rsidRPr="006E30E0">
        <w:rPr>
          <w:rFonts w:cs="Arial"/>
        </w:rPr>
        <w:t xml:space="preserve">econstruction </w:t>
      </w:r>
      <w:r>
        <w:rPr>
          <w:rFonts w:cs="Arial"/>
        </w:rPr>
        <w:t>f</w:t>
      </w:r>
      <w:r w:rsidRPr="006E30E0">
        <w:rPr>
          <w:rFonts w:cs="Arial"/>
        </w:rPr>
        <w:t xml:space="preserve">ailure in the MARS </w:t>
      </w:r>
      <w:r>
        <w:rPr>
          <w:rFonts w:cs="Arial"/>
        </w:rPr>
        <w:t>c</w:t>
      </w:r>
      <w:r w:rsidRPr="006E30E0">
        <w:rPr>
          <w:rFonts w:cs="Arial"/>
        </w:rPr>
        <w:t xml:space="preserve">ohort. </w:t>
      </w:r>
      <w:proofErr w:type="spellStart"/>
      <w:r w:rsidRPr="006E30E0">
        <w:rPr>
          <w:rFonts w:cs="Arial"/>
        </w:rPr>
        <w:t>Orthop</w:t>
      </w:r>
      <w:proofErr w:type="spellEnd"/>
      <w:r w:rsidRPr="006E30E0">
        <w:rPr>
          <w:rFonts w:cs="Arial"/>
        </w:rPr>
        <w:t xml:space="preserve"> J Sports Med. 2024;12(11):23259671241291920. PMID: 39555321</w:t>
      </w:r>
    </w:p>
    <w:p w14:paraId="3460B5AA" w14:textId="77777777" w:rsidR="0046632E" w:rsidRPr="006E30E0" w:rsidRDefault="0046632E" w:rsidP="0046632E">
      <w:pPr>
        <w:autoSpaceDE w:val="0"/>
        <w:autoSpaceDN w:val="0"/>
        <w:adjustRightInd w:val="0"/>
        <w:spacing w:after="0" w:line="240" w:lineRule="auto"/>
        <w:contextualSpacing/>
        <w:rPr>
          <w:rFonts w:cs="Arial"/>
        </w:rPr>
      </w:pPr>
    </w:p>
    <w:p w14:paraId="7D261CB0"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Wieland MD, Sequeira SB, Imbergamo C, Murthi AM, Wright MA. Home health care is associated with an increased risk of readmission and cost of care without reducing risk of complication following shoulder arthroplasty: a propensity-score analysis. J Shoulder Elbow Surg. 2024;33(7):1563-9. PMID: 38122889</w:t>
      </w:r>
    </w:p>
    <w:p w14:paraId="3A27754A" w14:textId="77777777" w:rsidR="0046632E" w:rsidRPr="006E30E0" w:rsidRDefault="0046632E" w:rsidP="0046632E">
      <w:pPr>
        <w:autoSpaceDE w:val="0"/>
        <w:autoSpaceDN w:val="0"/>
        <w:adjustRightInd w:val="0"/>
        <w:spacing w:after="0" w:line="240" w:lineRule="auto"/>
        <w:contextualSpacing/>
        <w:rPr>
          <w:rFonts w:cs="Arial"/>
        </w:rPr>
      </w:pPr>
    </w:p>
    <w:p w14:paraId="16CB5A59"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Wright MA, Aleem AW, Murthi AM, </w:t>
      </w:r>
      <w:proofErr w:type="spellStart"/>
      <w:r w:rsidRPr="006E30E0">
        <w:rPr>
          <w:rFonts w:cs="Arial"/>
        </w:rPr>
        <w:t>Zmistowski</w:t>
      </w:r>
      <w:proofErr w:type="spellEnd"/>
      <w:r w:rsidRPr="006E30E0">
        <w:rPr>
          <w:rFonts w:cs="Arial"/>
        </w:rPr>
        <w:t xml:space="preserve"> BM. Gender differences among shoulder arthroplasty surgeons: past, present, and future. J Shoulder Elbow Surg. 2024;33(8):1799-804. PMID: 38237720</w:t>
      </w:r>
    </w:p>
    <w:p w14:paraId="1255C03B" w14:textId="77777777" w:rsidR="0046632E" w:rsidRPr="006E30E0" w:rsidRDefault="0046632E" w:rsidP="0046632E">
      <w:pPr>
        <w:autoSpaceDE w:val="0"/>
        <w:autoSpaceDN w:val="0"/>
        <w:adjustRightInd w:val="0"/>
        <w:spacing w:after="0" w:line="240" w:lineRule="auto"/>
        <w:contextualSpacing/>
        <w:rPr>
          <w:rFonts w:cs="Arial"/>
        </w:rPr>
      </w:pPr>
    </w:p>
    <w:p w14:paraId="7EBC5E3D"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Wright MA, Deal JB, Jr., Schiffman BA, Gould HP, Forthman CL, Murthi AM. No difference in torque load to failure between split anconeus fascia transfer and autograft palmaris longus tendon for reconstruction of the lateral ulnar collateral ligament. JSES Int. 2024;8(1):232-5. PMID: 38312284</w:t>
      </w:r>
    </w:p>
    <w:p w14:paraId="1B783CF4" w14:textId="77777777" w:rsidR="0046632E" w:rsidRPr="006E30E0" w:rsidRDefault="0046632E" w:rsidP="0046632E">
      <w:pPr>
        <w:autoSpaceDE w:val="0"/>
        <w:autoSpaceDN w:val="0"/>
        <w:adjustRightInd w:val="0"/>
        <w:spacing w:after="0" w:line="240" w:lineRule="auto"/>
        <w:contextualSpacing/>
        <w:rPr>
          <w:rFonts w:cs="Arial"/>
        </w:rPr>
      </w:pPr>
    </w:p>
    <w:p w14:paraId="6EC71A9B"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Wright MA, Murthi AM. The B2 glenoid: evaluation and treatment. Semin Arthroplasty. 2024;34(1):222-7. </w:t>
      </w:r>
    </w:p>
    <w:p w14:paraId="67548E76" w14:textId="77777777" w:rsidR="0046632E" w:rsidRPr="006E30E0" w:rsidRDefault="0046632E" w:rsidP="0046632E">
      <w:pPr>
        <w:autoSpaceDE w:val="0"/>
        <w:autoSpaceDN w:val="0"/>
        <w:adjustRightInd w:val="0"/>
        <w:spacing w:after="0" w:line="240" w:lineRule="auto"/>
        <w:contextualSpacing/>
        <w:rPr>
          <w:rFonts w:cs="Arial"/>
        </w:rPr>
      </w:pPr>
    </w:p>
    <w:p w14:paraId="31EA4346"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Wright MA, O'Leary M, Johnston P, Murthi AM. Advances in anatomic total shoulder arthroplasty glenoid implant design. J Am </w:t>
      </w:r>
      <w:proofErr w:type="spellStart"/>
      <w:r w:rsidRPr="006E30E0">
        <w:rPr>
          <w:rFonts w:cs="Arial"/>
        </w:rPr>
        <w:t>Acad</w:t>
      </w:r>
      <w:proofErr w:type="spellEnd"/>
      <w:r w:rsidRPr="006E30E0">
        <w:rPr>
          <w:rFonts w:cs="Arial"/>
        </w:rPr>
        <w:t xml:space="preserve"> </w:t>
      </w:r>
      <w:proofErr w:type="spellStart"/>
      <w:r w:rsidRPr="006E30E0">
        <w:rPr>
          <w:rFonts w:cs="Arial"/>
        </w:rPr>
        <w:t>Orthop</w:t>
      </w:r>
      <w:proofErr w:type="spellEnd"/>
      <w:r w:rsidRPr="006E30E0">
        <w:rPr>
          <w:rFonts w:cs="Arial"/>
        </w:rPr>
        <w:t xml:space="preserve"> Surg. 2025;33(2):56-64. PMID: 39151177</w:t>
      </w:r>
    </w:p>
    <w:p w14:paraId="03239852" w14:textId="77777777" w:rsidR="0046632E" w:rsidRPr="006E30E0" w:rsidRDefault="0046632E" w:rsidP="0046632E">
      <w:pPr>
        <w:autoSpaceDE w:val="0"/>
        <w:autoSpaceDN w:val="0"/>
        <w:adjustRightInd w:val="0"/>
        <w:spacing w:after="0" w:line="240" w:lineRule="auto"/>
        <w:contextualSpacing/>
        <w:rPr>
          <w:rFonts w:cs="Arial"/>
        </w:rPr>
      </w:pPr>
    </w:p>
    <w:p w14:paraId="079724A2" w14:textId="77777777" w:rsidR="0046632E"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Wright MA, Shapiro D, Chopra A, Murthi AM. Limited health literacy in shoulder and elbow patients. Shoulder Elbow. 2025;17(1):36-42. PMID: 39866541</w:t>
      </w:r>
    </w:p>
    <w:p w14:paraId="4C652016" w14:textId="77777777" w:rsidR="0046632E" w:rsidRPr="0090629F" w:rsidRDefault="0046632E" w:rsidP="0046632E">
      <w:pPr>
        <w:autoSpaceDE w:val="0"/>
        <w:autoSpaceDN w:val="0"/>
        <w:adjustRightInd w:val="0"/>
        <w:spacing w:after="0" w:line="240" w:lineRule="auto"/>
        <w:contextualSpacing/>
        <w:rPr>
          <w:rFonts w:cs="Arial"/>
        </w:rPr>
      </w:pPr>
    </w:p>
    <w:p w14:paraId="5E8CD688" w14:textId="77777777" w:rsidR="0046632E" w:rsidRPr="006E30E0" w:rsidRDefault="0046632E" w:rsidP="0046632E">
      <w:pPr>
        <w:pStyle w:val="ListParagraph"/>
        <w:numPr>
          <w:ilvl w:val="0"/>
          <w:numId w:val="1"/>
        </w:numPr>
        <w:autoSpaceDE w:val="0"/>
        <w:autoSpaceDN w:val="0"/>
        <w:adjustRightInd w:val="0"/>
        <w:spacing w:after="0" w:line="240" w:lineRule="auto"/>
        <w:rPr>
          <w:rFonts w:cs="Arial"/>
        </w:rPr>
      </w:pPr>
      <w:r w:rsidRPr="006E30E0">
        <w:rPr>
          <w:rFonts w:cs="Arial"/>
        </w:rPr>
        <w:t xml:space="preserve">Wright RW, Huston LJ, Haas AK, Pennings JS, Allen CR, Cooper DE, </w:t>
      </w:r>
      <w:proofErr w:type="spellStart"/>
      <w:r w:rsidRPr="006E30E0">
        <w:rPr>
          <w:rFonts w:cs="Arial"/>
        </w:rPr>
        <w:t>DeBerardino</w:t>
      </w:r>
      <w:proofErr w:type="spellEnd"/>
      <w:r w:rsidRPr="006E30E0">
        <w:rPr>
          <w:rFonts w:cs="Arial"/>
        </w:rPr>
        <w:t xml:space="preserve"> TM, Dunn WR, Lantz BBA, Spindler KP, Stuart MJ, Amendola AN, Annunziata CC, Arciero RA, Bach BR, Jr., Baker CL, 3rd, Bartolozzi AR, Baumgarten KM, Berg JH, Bernas GA, Brockmeier SF, Brophy RH, Bush-Joseph CA, Butler </w:t>
      </w:r>
      <w:proofErr w:type="spellStart"/>
      <w:r w:rsidRPr="006E30E0">
        <w:rPr>
          <w:rFonts w:cs="Arial"/>
        </w:rPr>
        <w:t>JBt</w:t>
      </w:r>
      <w:proofErr w:type="spellEnd"/>
      <w:r w:rsidRPr="006E30E0">
        <w:rPr>
          <w:rFonts w:cs="Arial"/>
        </w:rPr>
        <w:t xml:space="preserve">, Carey JL, Carpenter JE, Cole BJ, Cooper JM, Cox CL, Creighton RA, David TS, Flanigan DC, Frederick RW, Ganley TJ, </w:t>
      </w:r>
      <w:proofErr w:type="spellStart"/>
      <w:r w:rsidRPr="006E30E0">
        <w:rPr>
          <w:rFonts w:cs="Arial"/>
        </w:rPr>
        <w:t>Gatt</w:t>
      </w:r>
      <w:proofErr w:type="spellEnd"/>
      <w:r w:rsidRPr="006E30E0">
        <w:rPr>
          <w:rFonts w:cs="Arial"/>
        </w:rPr>
        <w:t xml:space="preserve"> CJ, Jr., </w:t>
      </w:r>
      <w:proofErr w:type="spellStart"/>
      <w:r w:rsidRPr="006E30E0">
        <w:rPr>
          <w:rFonts w:cs="Arial"/>
        </w:rPr>
        <w:t>Gecha</w:t>
      </w:r>
      <w:proofErr w:type="spellEnd"/>
      <w:r w:rsidRPr="006E30E0">
        <w:rPr>
          <w:rFonts w:cs="Arial"/>
        </w:rPr>
        <w:t xml:space="preserve"> SR, Giffin JR, </w:t>
      </w:r>
      <w:proofErr w:type="spellStart"/>
      <w:r w:rsidRPr="006E30E0">
        <w:rPr>
          <w:rFonts w:cs="Arial"/>
        </w:rPr>
        <w:t>Hame</w:t>
      </w:r>
      <w:proofErr w:type="spellEnd"/>
      <w:r w:rsidRPr="006E30E0">
        <w:rPr>
          <w:rFonts w:cs="Arial"/>
        </w:rPr>
        <w:t xml:space="preserve"> SL, Hannafin JA, Harner CD, Harris NL, Jr., Hechtman KS, Hershman EB, </w:t>
      </w:r>
      <w:proofErr w:type="spellStart"/>
      <w:r w:rsidRPr="006E30E0">
        <w:rPr>
          <w:rFonts w:cs="Arial"/>
        </w:rPr>
        <w:t>Hoellrich</w:t>
      </w:r>
      <w:proofErr w:type="spellEnd"/>
      <w:r w:rsidRPr="006E30E0">
        <w:rPr>
          <w:rFonts w:cs="Arial"/>
        </w:rPr>
        <w:t xml:space="preserve"> RG, Johnson DC, Johnson TS, Jones MH, Kaeding CC, Kamath GV, Klootwyk TE, Levy BA, Ma CB, Maiers GP, 2nd, Marx RG, Matava MJ, </w:t>
      </w:r>
      <w:proofErr w:type="spellStart"/>
      <w:r w:rsidRPr="006E30E0">
        <w:rPr>
          <w:rFonts w:cs="Arial"/>
        </w:rPr>
        <w:t>Mathien</w:t>
      </w:r>
      <w:proofErr w:type="spellEnd"/>
      <w:r w:rsidRPr="006E30E0">
        <w:rPr>
          <w:rFonts w:cs="Arial"/>
        </w:rPr>
        <w:t xml:space="preserve"> GM, McAllister DR, McCarty EC, McCormack RG, Miller BS, Nissen CW, O'Neill DF, Owens BD, Parker RD, Purnell ML, </w:t>
      </w:r>
      <w:proofErr w:type="spellStart"/>
      <w:r w:rsidRPr="006E30E0">
        <w:rPr>
          <w:rFonts w:cs="Arial"/>
        </w:rPr>
        <w:t>Ramappa</w:t>
      </w:r>
      <w:proofErr w:type="spellEnd"/>
      <w:r w:rsidRPr="006E30E0">
        <w:rPr>
          <w:rFonts w:cs="Arial"/>
        </w:rPr>
        <w:t xml:space="preserve"> AJ, Rauh MA, Rettig AC, Sekiya JK, Shea KG, Sherman OH, </w:t>
      </w:r>
      <w:proofErr w:type="spellStart"/>
      <w:r w:rsidRPr="006E30E0">
        <w:rPr>
          <w:rFonts w:cs="Arial"/>
        </w:rPr>
        <w:t>Slauterbeck</w:t>
      </w:r>
      <w:proofErr w:type="spellEnd"/>
      <w:r w:rsidRPr="006E30E0">
        <w:rPr>
          <w:rFonts w:cs="Arial"/>
        </w:rPr>
        <w:t xml:space="preserve"> JR, Smith MV, Spang JT, Svoboda SJ, Taft TN, Tenuta JJ, Tingstad EM, Vidal AF, </w:t>
      </w:r>
      <w:proofErr w:type="spellStart"/>
      <w:r w:rsidRPr="006E30E0">
        <w:rPr>
          <w:rFonts w:cs="Arial"/>
        </w:rPr>
        <w:t>Viskontas</w:t>
      </w:r>
      <w:proofErr w:type="spellEnd"/>
      <w:r w:rsidRPr="006E30E0">
        <w:rPr>
          <w:rFonts w:cs="Arial"/>
        </w:rPr>
        <w:t xml:space="preserve"> DG, White RA, Williams JS, Jr., Wolcott ML, Wolf BR, York JJ. Surgical predictors of clinical outcome 6 years after revision ACL reconstruction. Am J Sports Med. 2024;52(13):3286-94. PMID: 39503722</w:t>
      </w:r>
    </w:p>
    <w:p w14:paraId="5C0EF533" w14:textId="77777777" w:rsidR="0046632E" w:rsidRPr="0090629F" w:rsidRDefault="0046632E" w:rsidP="0046632E">
      <w:pPr>
        <w:autoSpaceDE w:val="0"/>
        <w:autoSpaceDN w:val="0"/>
        <w:adjustRightInd w:val="0"/>
        <w:spacing w:after="0" w:line="240" w:lineRule="auto"/>
        <w:ind w:left="360"/>
        <w:contextualSpacing/>
        <w:rPr>
          <w:rFonts w:cs="Arial"/>
        </w:rPr>
      </w:pPr>
    </w:p>
    <w:p w14:paraId="25DA98F3" w14:textId="77777777" w:rsidR="00915D31" w:rsidRPr="00915D31" w:rsidRDefault="00915D31" w:rsidP="0046632E">
      <w:pPr>
        <w:pStyle w:val="ListParagraph"/>
        <w:autoSpaceDE w:val="0"/>
        <w:autoSpaceDN w:val="0"/>
        <w:adjustRightInd w:val="0"/>
        <w:spacing w:after="0" w:line="240" w:lineRule="auto"/>
        <w:rPr>
          <w:rFonts w:ascii="Avenir Next LT Pro" w:hAnsi="Avenir Next LT Pro"/>
        </w:rPr>
      </w:pPr>
    </w:p>
    <w:sectPr w:rsidR="00915D31" w:rsidRPr="00915D31" w:rsidSect="00F40D6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503C2" w14:textId="77777777" w:rsidR="00F40D6D" w:rsidRDefault="00F40D6D" w:rsidP="00F40D6D">
      <w:pPr>
        <w:spacing w:after="0" w:line="240" w:lineRule="auto"/>
      </w:pPr>
      <w:r>
        <w:separator/>
      </w:r>
    </w:p>
  </w:endnote>
  <w:endnote w:type="continuationSeparator" w:id="0">
    <w:p w14:paraId="0D4A7D7A" w14:textId="77777777" w:rsidR="00F40D6D" w:rsidRDefault="00F40D6D" w:rsidP="00F4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2D3C8" w14:textId="77777777" w:rsidR="00F40D6D" w:rsidRDefault="00F40D6D" w:rsidP="00F40D6D">
      <w:pPr>
        <w:spacing w:after="0" w:line="240" w:lineRule="auto"/>
      </w:pPr>
      <w:r>
        <w:separator/>
      </w:r>
    </w:p>
  </w:footnote>
  <w:footnote w:type="continuationSeparator" w:id="0">
    <w:p w14:paraId="1DEE5FF3" w14:textId="77777777" w:rsidR="00F40D6D" w:rsidRDefault="00F40D6D" w:rsidP="00F40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141670"/>
      <w:docPartObj>
        <w:docPartGallery w:val="Page Numbers (Top of Page)"/>
        <w:docPartUnique/>
      </w:docPartObj>
    </w:sdtPr>
    <w:sdtEndPr>
      <w:rPr>
        <w:noProof/>
      </w:rPr>
    </w:sdtEndPr>
    <w:sdtContent>
      <w:p w14:paraId="71EAA5CB" w14:textId="649FC77B" w:rsidR="00F40D6D" w:rsidRDefault="00F40D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A68A68" w14:textId="77777777" w:rsidR="00F40D6D" w:rsidRDefault="00F40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1061F"/>
    <w:multiLevelType w:val="hybridMultilevel"/>
    <w:tmpl w:val="E288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86250"/>
    <w:multiLevelType w:val="hybridMultilevel"/>
    <w:tmpl w:val="DDDCE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32597">
    <w:abstractNumId w:val="0"/>
  </w:num>
  <w:num w:numId="2" w16cid:durableId="118274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2MTA3tTAwM7IwMjVX0lEKTi0uzszPAykwrAUAA0eRtCwAAAA="/>
  </w:docVars>
  <w:rsids>
    <w:rsidRoot w:val="00915D31"/>
    <w:rsid w:val="000F05D4"/>
    <w:rsid w:val="003B55C2"/>
    <w:rsid w:val="00403E8E"/>
    <w:rsid w:val="0041344A"/>
    <w:rsid w:val="0046632E"/>
    <w:rsid w:val="007E7EFC"/>
    <w:rsid w:val="007F3AA8"/>
    <w:rsid w:val="00915D31"/>
    <w:rsid w:val="00BA4825"/>
    <w:rsid w:val="00D25EFB"/>
    <w:rsid w:val="00D94713"/>
    <w:rsid w:val="00EF684A"/>
    <w:rsid w:val="00F4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3087"/>
  <w15:chartTrackingRefBased/>
  <w15:docId w15:val="{517F2172-1F78-43F0-A93E-47ED0B75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4A"/>
    <w:pPr>
      <w:spacing w:after="200" w:line="276" w:lineRule="auto"/>
    </w:pPr>
    <w:rPr>
      <w:rFonts w:ascii="Arial" w:hAnsi="Arial" w:cs="Times New Roman"/>
      <w:kern w:val="0"/>
      <w14:ligatures w14:val="none"/>
    </w:rPr>
  </w:style>
  <w:style w:type="paragraph" w:styleId="Heading1">
    <w:name w:val="heading 1"/>
    <w:basedOn w:val="Normal"/>
    <w:next w:val="Normal"/>
    <w:link w:val="Heading1Char"/>
    <w:uiPriority w:val="9"/>
    <w:qFormat/>
    <w:rsid w:val="00915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D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D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15D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15D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5D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5D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5D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D31"/>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915D3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915D3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915D31"/>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915D31"/>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915D31"/>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915D31"/>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915D31"/>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915D31"/>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915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D3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15D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D3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15D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5D31"/>
    <w:rPr>
      <w:rFonts w:ascii="Arial" w:hAnsi="Arial" w:cs="Times New Roman"/>
      <w:i/>
      <w:iCs/>
      <w:color w:val="404040" w:themeColor="text1" w:themeTint="BF"/>
      <w:kern w:val="0"/>
      <w14:ligatures w14:val="none"/>
    </w:rPr>
  </w:style>
  <w:style w:type="paragraph" w:styleId="ListParagraph">
    <w:name w:val="List Paragraph"/>
    <w:basedOn w:val="Normal"/>
    <w:uiPriority w:val="34"/>
    <w:qFormat/>
    <w:rsid w:val="00915D31"/>
    <w:pPr>
      <w:ind w:left="720"/>
      <w:contextualSpacing/>
    </w:pPr>
  </w:style>
  <w:style w:type="character" w:styleId="IntenseEmphasis">
    <w:name w:val="Intense Emphasis"/>
    <w:basedOn w:val="DefaultParagraphFont"/>
    <w:uiPriority w:val="21"/>
    <w:qFormat/>
    <w:rsid w:val="00915D31"/>
    <w:rPr>
      <w:i/>
      <w:iCs/>
      <w:color w:val="0F4761" w:themeColor="accent1" w:themeShade="BF"/>
    </w:rPr>
  </w:style>
  <w:style w:type="paragraph" w:styleId="IntenseQuote">
    <w:name w:val="Intense Quote"/>
    <w:basedOn w:val="Normal"/>
    <w:next w:val="Normal"/>
    <w:link w:val="IntenseQuoteChar"/>
    <w:uiPriority w:val="30"/>
    <w:qFormat/>
    <w:rsid w:val="00915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D31"/>
    <w:rPr>
      <w:rFonts w:ascii="Arial" w:hAnsi="Arial" w:cs="Times New Roman"/>
      <w:i/>
      <w:iCs/>
      <w:color w:val="0F4761" w:themeColor="accent1" w:themeShade="BF"/>
      <w:kern w:val="0"/>
      <w14:ligatures w14:val="none"/>
    </w:rPr>
  </w:style>
  <w:style w:type="character" w:styleId="IntenseReference">
    <w:name w:val="Intense Reference"/>
    <w:basedOn w:val="DefaultParagraphFont"/>
    <w:uiPriority w:val="32"/>
    <w:qFormat/>
    <w:rsid w:val="00915D31"/>
    <w:rPr>
      <w:b/>
      <w:bCs/>
      <w:smallCaps/>
      <w:color w:val="0F4761" w:themeColor="accent1" w:themeShade="BF"/>
      <w:spacing w:val="5"/>
    </w:rPr>
  </w:style>
  <w:style w:type="paragraph" w:styleId="Header">
    <w:name w:val="header"/>
    <w:basedOn w:val="Normal"/>
    <w:link w:val="HeaderChar"/>
    <w:uiPriority w:val="99"/>
    <w:unhideWhenUsed/>
    <w:rsid w:val="00F40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D6D"/>
    <w:rPr>
      <w:rFonts w:ascii="Arial" w:hAnsi="Arial" w:cs="Times New Roman"/>
      <w:kern w:val="0"/>
      <w14:ligatures w14:val="none"/>
    </w:rPr>
  </w:style>
  <w:style w:type="paragraph" w:styleId="Footer">
    <w:name w:val="footer"/>
    <w:basedOn w:val="Normal"/>
    <w:link w:val="FooterChar"/>
    <w:uiPriority w:val="99"/>
    <w:unhideWhenUsed/>
    <w:rsid w:val="00F40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D6D"/>
    <w:rPr>
      <w:rFonts w:ascii="Arial"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7407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Nasrallah, Grace</dc:creator>
  <cp:keywords/>
  <dc:description/>
  <cp:lastModifiedBy>Soto-Clarke, Trina M</cp:lastModifiedBy>
  <cp:revision>2</cp:revision>
  <dcterms:created xsi:type="dcterms:W3CDTF">2025-03-25T01:46:00Z</dcterms:created>
  <dcterms:modified xsi:type="dcterms:W3CDTF">2025-03-25T01:46:00Z</dcterms:modified>
</cp:coreProperties>
</file>